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36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0B1387" w:rsidRPr="000B1387" w:rsidRDefault="000B1387" w:rsidP="000B1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0B1387">
        <w:rPr>
          <w:rFonts w:ascii="Times New Roman" w:eastAsia="Calibri" w:hAnsi="Times New Roman" w:cs="Times New Roman"/>
          <w:b/>
          <w:sz w:val="24"/>
          <w:szCs w:val="24"/>
        </w:rPr>
        <w:t>ОДОБРЕНА</w:t>
      </w:r>
    </w:p>
    <w:p w:rsidR="000B1387" w:rsidRPr="000B1387" w:rsidRDefault="000B1387" w:rsidP="000B13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1387">
        <w:rPr>
          <w:rFonts w:ascii="Times New Roman" w:eastAsia="Calibri" w:hAnsi="Times New Roman" w:cs="Times New Roman"/>
          <w:sz w:val="24"/>
          <w:szCs w:val="24"/>
        </w:rPr>
        <w:t>решением</w:t>
      </w:r>
      <w:proofErr w:type="gramEnd"/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федерального учебно-методического</w:t>
      </w:r>
    </w:p>
    <w:p w:rsidR="000B1387" w:rsidRPr="000B1387" w:rsidRDefault="000B1387" w:rsidP="000B1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0B1387">
        <w:rPr>
          <w:rFonts w:ascii="Times New Roman" w:eastAsia="Calibri" w:hAnsi="Times New Roman" w:cs="Times New Roman"/>
          <w:sz w:val="24"/>
          <w:szCs w:val="24"/>
        </w:rPr>
        <w:t>объединения</w:t>
      </w:r>
      <w:proofErr w:type="gramEnd"/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по общему образованию</w:t>
      </w:r>
    </w:p>
    <w:p w:rsidR="000B1387" w:rsidRPr="000B1387" w:rsidRDefault="000B1387" w:rsidP="000B1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</w:t>
      </w:r>
      <w:proofErr w:type="gramStart"/>
      <w:r w:rsidRPr="000B1387">
        <w:rPr>
          <w:rFonts w:ascii="Times New Roman" w:eastAsia="Calibri" w:hAnsi="Times New Roman" w:cs="Times New Roman"/>
          <w:sz w:val="24"/>
          <w:szCs w:val="24"/>
        </w:rPr>
        <w:t>протокол</w:t>
      </w:r>
      <w:proofErr w:type="gramEnd"/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от 26 октября 2020 № 4/20)</w:t>
      </w: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6E2E9B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6E2E9B" w:rsidRDefault="002E51BB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ОБРАЗОВАТЕЛЬНАЯ </w:t>
      </w:r>
      <w:r w:rsidR="00765036" w:rsidRPr="006E2E9B">
        <w:rPr>
          <w:b/>
          <w:bCs/>
          <w:sz w:val="32"/>
          <w:szCs w:val="32"/>
        </w:rPr>
        <w:t>ПРОГРАММА</w:t>
      </w:r>
    </w:p>
    <w:p w:rsidR="00405780" w:rsidRPr="006E2E9B" w:rsidRDefault="00530BB1" w:rsidP="006E2E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учебного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>курса «Финансовая грамотность</w:t>
      </w:r>
      <w:r w:rsidR="002E51BB">
        <w:rPr>
          <w:rFonts w:ascii="Times New Roman" w:hAnsi="Times New Roman" w:cs="Times New Roman"/>
          <w:b/>
          <w:bCs/>
          <w:sz w:val="32"/>
          <w:szCs w:val="32"/>
        </w:rPr>
        <w:t>. Цифровой мир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>» предметной област</w:t>
      </w:r>
      <w:r w:rsidR="00436658">
        <w:rPr>
          <w:rFonts w:ascii="Times New Roman" w:hAnsi="Times New Roman" w:cs="Times New Roman"/>
          <w:b/>
          <w:bCs/>
          <w:sz w:val="32"/>
          <w:szCs w:val="32"/>
        </w:rPr>
        <w:t xml:space="preserve">и </w:t>
      </w:r>
      <w:r w:rsidR="005E0500">
        <w:rPr>
          <w:rFonts w:ascii="Times New Roman" w:hAnsi="Times New Roman" w:cs="Times New Roman"/>
          <w:b/>
          <w:bCs/>
          <w:sz w:val="32"/>
          <w:szCs w:val="32"/>
        </w:rPr>
        <w:t>«Общественные науки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 xml:space="preserve">» для </w:t>
      </w:r>
      <w:r w:rsidR="00684542">
        <w:rPr>
          <w:rFonts w:ascii="Times New Roman" w:hAnsi="Times New Roman" w:cs="Times New Roman"/>
          <w:b/>
          <w:bCs/>
          <w:sz w:val="32"/>
          <w:szCs w:val="32"/>
        </w:rPr>
        <w:t>обучающихся 10-11 классов</w:t>
      </w:r>
      <w:bookmarkEnd w:id="0"/>
    </w:p>
    <w:p w:rsidR="000A5C85" w:rsidRPr="006E2E9B" w:rsidRDefault="000A5C85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E2E9B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E96EBD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Современное общество стремительно развивается во всех сферах, и финансы, которые сегодня вбирают в себя все последние достижения </w:t>
      </w:r>
      <w:r w:rsidR="008242E9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 технологического развития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исключение. </w:t>
      </w:r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жизнь в современном обществе оказывает </w:t>
      </w:r>
      <w:proofErr w:type="spellStart"/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проявляется во всех сферах жизни человека, влияет на выбор будущей профессии.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ситуации главное не просто научить старшеклассника действовать по алгоритму (что тоже очень важно при решении многих финансовых задач), а сформировать </w:t>
      </w:r>
      <w:proofErr w:type="spell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метапредметное</w:t>
      </w:r>
      <w:proofErr w:type="spell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в финансовом пространстве, оценивать различные альтернативы решения финансовых задач и принимать оптимальное решение в конкретных жизненных обстоятельствах. Не менее важным является формирование ответственного отношения к принимаемым на себя финансовым обязательствам и умения сопоставлять свое финансовое поведение с правовыми и моральными нормами данного государства и общества.</w:t>
      </w:r>
    </w:p>
    <w:p w:rsidR="009619B8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10-11 классов изучение курса финансовой грамотности имеет большое значение. Это связано в первую очередь с их возрастом. В наше время многие учащиеся оканчивают школу в 18 лет. Именно с этого возраста гражданин Российской Федерации приобретает полную дееспособность, которая означает в том числе наличие прав на осуществление любых финансовых операций. Поэтому чрезвычайно важно, чтобы выпускник школы вступил во взрослую жизнь подготовленным к взаимодействию с различными финансовыми организациями</w:t>
      </w:r>
      <w:r w:rsidR="009619B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BB1" w:rsidRPr="00CC486F" w:rsidRDefault="00530BB1" w:rsidP="009619B8">
      <w:pPr>
        <w:spacing w:after="0" w:line="360" w:lineRule="auto"/>
        <w:ind w:firstLine="540"/>
        <w:jc w:val="both"/>
      </w:pPr>
    </w:p>
    <w:p w:rsidR="000A5C85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i/>
        </w:rPr>
        <w:t xml:space="preserve"> </w:t>
      </w:r>
      <w:r w:rsidR="00C03259" w:rsidRPr="00CC486F">
        <w:rPr>
          <w:rFonts w:ascii="Times New Roman" w:eastAsia="Calibri" w:hAnsi="Times New Roman" w:cs="Times New Roman"/>
          <w:i/>
          <w:sz w:val="28"/>
          <w:szCs w:val="28"/>
        </w:rPr>
        <w:t>Нормативно-</w:t>
      </w:r>
      <w:r w:rsidR="000A5C85" w:rsidRPr="00CC486F">
        <w:rPr>
          <w:rFonts w:ascii="Times New Roman" w:eastAsia="Calibri" w:hAnsi="Times New Roman" w:cs="Times New Roman"/>
          <w:i/>
          <w:sz w:val="28"/>
          <w:szCs w:val="28"/>
        </w:rPr>
        <w:t>правовую основу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 настоящей примерной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программы по учебному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курсу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>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>» составляют следующие документы:</w:t>
      </w:r>
    </w:p>
    <w:p w:rsidR="000A5C85" w:rsidRPr="00CC486F" w:rsidRDefault="000A5C85" w:rsidP="009619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федеральный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закон от 29 декабря 2012 г. № 273-ФЗ «Об образовании в Российской Федерации» (далее – Федеральный закон об образовании);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сентября 2017 года №2039-р об утверждении Стратегии повышения финансовой грамотности в Российской Федерации на период 2017-2023 годы;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приказ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Примерная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(далее – программа) разработана на основе требований федерального государственного образовательного стандарта </w:t>
      </w:r>
      <w:r w:rsidR="005E0500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к результатам освоения основной образовательной программы </w:t>
      </w:r>
      <w:r w:rsidR="005E0500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Pr="00CC486F">
        <w:rPr>
          <w:b/>
          <w:bCs/>
          <w:sz w:val="32"/>
          <w:szCs w:val="32"/>
        </w:rPr>
        <w:t xml:space="preserve"> </w:t>
      </w:r>
      <w:r w:rsidRPr="00CC486F">
        <w:rPr>
          <w:rFonts w:ascii="Times New Roman" w:hAnsi="Times New Roman" w:cs="Times New Roman"/>
          <w:bCs/>
          <w:sz w:val="28"/>
          <w:szCs w:val="28"/>
        </w:rPr>
        <w:t xml:space="preserve">предметной </w:t>
      </w:r>
      <w:proofErr w:type="gramStart"/>
      <w:r w:rsidRPr="00CC486F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0B6796" w:rsidRPr="00CC486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0B6796" w:rsidRPr="00CC486F">
        <w:rPr>
          <w:rFonts w:ascii="Times New Roman" w:hAnsi="Times New Roman" w:cs="Times New Roman"/>
          <w:bCs/>
          <w:sz w:val="28"/>
          <w:szCs w:val="28"/>
        </w:rPr>
        <w:t>Общественные науки</w:t>
      </w:r>
      <w:r w:rsidRPr="00CC486F">
        <w:rPr>
          <w:rFonts w:ascii="Times New Roman" w:hAnsi="Times New Roman" w:cs="Times New Roman"/>
          <w:bCs/>
          <w:sz w:val="28"/>
          <w:szCs w:val="28"/>
        </w:rPr>
        <w:t>»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пояснительную записку, в которой раскрываются цели изучения 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 xml:space="preserve">финансовой 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грамотности</w:t>
      </w:r>
      <w:r w:rsidRPr="00CC486F">
        <w:rPr>
          <w:rFonts w:ascii="Times New Roman" w:eastAsia="Calibri" w:hAnsi="Times New Roman" w:cs="Times New Roman"/>
          <w:sz w:val="28"/>
          <w:szCs w:val="28"/>
        </w:rPr>
        <w:t>, даётся общая характеристика курса, определяется место учебного предмета «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C03259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финансовой грамотности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на личностном,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метапредметном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предметном уровнях, примерное содержание учебного 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предмета «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содержание учебного предмета, основные методические </w:t>
      </w:r>
      <w:r w:rsidR="00BC20CA" w:rsidRPr="00CC486F">
        <w:rPr>
          <w:rFonts w:ascii="Times New Roman" w:eastAsia="Calibri" w:hAnsi="Times New Roman" w:cs="Times New Roman"/>
          <w:sz w:val="28"/>
          <w:szCs w:val="28"/>
        </w:rPr>
        <w:t>подходы к обучению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 xml:space="preserve">финансового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воспитания и развития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>компетенций финансовой грамотности</w:t>
      </w:r>
      <w:r w:rsidR="0024118C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18C" w:rsidRPr="00CC486F" w:rsidRDefault="0024118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18C" w:rsidRPr="00CC486F" w:rsidRDefault="006E2E9B" w:rsidP="00731E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24118C" w:rsidRPr="00CC486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4118C" w:rsidRPr="00CC486F" w:rsidRDefault="005B67A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задачи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изучения учебного 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курса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«Финансовая грамотность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. Цифровой мир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44FC4" w:rsidRPr="00CC486F" w:rsidRDefault="00A30F18" w:rsidP="00B44F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B5FC8" w:rsidRPr="00CC486F">
        <w:rPr>
          <w:rFonts w:ascii="Times New Roman" w:eastAsia="Calibri" w:hAnsi="Times New Roman" w:cs="Times New Roman"/>
          <w:sz w:val="28"/>
          <w:szCs w:val="28"/>
        </w:rPr>
        <w:t>учебного предмета «Финансовая грамотность»</w:t>
      </w:r>
      <w:r w:rsidR="000B5FC8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обучение учащихся финансовой грамотности</w:t>
      </w:r>
      <w:r w:rsidR="007125A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потребностей в финансовой социализации, опыта взаимодействия с миром финансов</w:t>
      </w:r>
      <w:r w:rsidR="001725F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5E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>начительное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уделяется формированию компетенции поиска, подбора, анализа и интерпретации финансовой информации из различных источников</w:t>
      </w:r>
      <w:r w:rsidR="001725FE" w:rsidRPr="00CC486F">
        <w:rPr>
          <w:rFonts w:ascii="Times New Roman" w:eastAsia="Calibri" w:hAnsi="Times New Roman" w:cs="Times New Roman"/>
          <w:sz w:val="28"/>
          <w:szCs w:val="28"/>
        </w:rPr>
        <w:t>, решению финансовых задача на грамотный и обоснованный выбор финансовых услуг, продуктов и способов их оформления и использования, в том числе в цифровом формате.</w:t>
      </w:r>
    </w:p>
    <w:p w:rsidR="00DE030E" w:rsidRPr="00CC486F" w:rsidRDefault="000B5FC8" w:rsidP="00937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  <w:r w:rsidR="00824766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ориентировано на дополнение основных </w:t>
      </w:r>
      <w:r w:rsidR="000B6796" w:rsidRPr="00CC486F">
        <w:rPr>
          <w:rFonts w:ascii="Times New Roman" w:eastAsia="Calibri" w:hAnsi="Times New Roman" w:cs="Times New Roman"/>
          <w:sz w:val="28"/>
          <w:szCs w:val="28"/>
        </w:rPr>
        <w:t>общественно-научных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предметов</w:t>
      </w:r>
      <w:r w:rsidR="00C34350" w:rsidRPr="00CC486F">
        <w:rPr>
          <w:rFonts w:ascii="Times New Roman" w:eastAsia="Calibri" w:hAnsi="Times New Roman" w:cs="Times New Roman"/>
          <w:sz w:val="28"/>
          <w:szCs w:val="28"/>
        </w:rPr>
        <w:t>, таких как: общ</w:t>
      </w:r>
      <w:r w:rsidR="00824766" w:rsidRPr="00CC486F">
        <w:rPr>
          <w:rFonts w:ascii="Times New Roman" w:eastAsia="Calibri" w:hAnsi="Times New Roman" w:cs="Times New Roman"/>
          <w:sz w:val="28"/>
          <w:szCs w:val="28"/>
        </w:rPr>
        <w:t>ествознание, история, география и нацелено на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финансовой грамотности у учащихся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10—11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базовом уровне в пределах познавательных способностей и потребностей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людей и девушек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—1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D4A49" w:rsidRPr="00CC486F" w:rsidRDefault="002D4A49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 в курсе 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>«Финансовая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C486F">
        <w:rPr>
          <w:rFonts w:ascii="Times New Roman" w:eastAsia="Calibri" w:hAnsi="Times New Roman" w:cs="Times New Roman"/>
          <w:sz w:val="28"/>
          <w:szCs w:val="28"/>
        </w:rPr>
        <w:t>актуализируются следующие цели</w:t>
      </w:r>
      <w:r w:rsidR="00EC4FFA"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774C" w:rsidRPr="00CC486F" w:rsidRDefault="007E774C" w:rsidP="007E774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Цели обучения: </w:t>
      </w:r>
    </w:p>
    <w:p w:rsidR="007E774C" w:rsidRPr="00CC486F" w:rsidRDefault="00C06430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опыта решения задач на управление личными финансами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 10—11 классов на основе практико-ориентированного подхода с применением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современных информационных и 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>цифровых технологий;</w:t>
      </w:r>
    </w:p>
    <w:p w:rsidR="007E774C" w:rsidRPr="00CC486F" w:rsidRDefault="007E774C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финансовой грамотности у учащихся 10—11 классов для принятия аргументированных решений на основе альтернатив в цифровом мире.</w:t>
      </w:r>
    </w:p>
    <w:p w:rsidR="007E774C" w:rsidRPr="00CC486F" w:rsidRDefault="007E774C" w:rsidP="007E774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Для достижения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>поставленных целей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предлагается решение следующих</w:t>
      </w: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 задач</w:t>
      </w:r>
      <w:r w:rsidRPr="00CC4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раскрыть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эволюцию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денег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роль денег в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современной </w:t>
      </w:r>
      <w:r w:rsidRPr="00CC486F">
        <w:rPr>
          <w:rFonts w:ascii="Times New Roman" w:eastAsia="Calibri" w:hAnsi="Times New Roman" w:cs="Times New Roman"/>
          <w:sz w:val="28"/>
          <w:szCs w:val="28"/>
        </w:rPr>
        <w:t>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познакомиться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 практикой использования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 различных,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денег;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освоить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механизм управления личными финансами;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изучить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применить инструменты сбережения и инвестирования в </w:t>
      </w:r>
      <w:proofErr w:type="spellStart"/>
      <w:r w:rsidR="003F17A1" w:rsidRPr="00CC486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современной экономике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познакомиться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 процессами кредитования и заимствования в современной 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рассмотреть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возможности применения</w:t>
      </w:r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в процессе финансового планирования;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определить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возможности формирования современной личности как условия поиска себя в 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динамично меняющимся </w:t>
      </w:r>
      <w:r w:rsidRPr="00CC486F">
        <w:rPr>
          <w:rFonts w:ascii="Times New Roman" w:eastAsia="Calibri" w:hAnsi="Times New Roman" w:cs="Times New Roman"/>
          <w:sz w:val="28"/>
          <w:szCs w:val="28"/>
        </w:rPr>
        <w:t>мире;</w:t>
      </w:r>
    </w:p>
    <w:p w:rsidR="00843382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исследовать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финансовые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возможности для реализации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42A8"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="001F150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3FB" w:rsidRPr="00CC486F" w:rsidRDefault="00F453FB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73C7E" w:rsidRPr="00CC486F" w:rsidRDefault="00843382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Общая характеристика учебного предмета</w:t>
      </w:r>
    </w:p>
    <w:p w:rsidR="00843382" w:rsidRPr="00CC486F" w:rsidRDefault="00530BB1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«Финансовая грамотность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Цифровой мир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тенденции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</w:t>
      </w:r>
      <w:r w:rsidR="006E13B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тесные </w:t>
      </w:r>
      <w:proofErr w:type="spellStart"/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обществознания, истории, географии</w:t>
      </w:r>
      <w:r w:rsidR="004E6F3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математики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F34" w:rsidRPr="00CC486F" w:rsidRDefault="00530BB1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мир»  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направлен</w:t>
      </w:r>
      <w:proofErr w:type="gramEnd"/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на формирование универсальных учебных действий, обеспечивающих развитие познавательных и коммуникативных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способностей учащихся 10-11 классов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видов деятельности, способствующих развитию познавательного интереса, является исследовательская деятельность.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В курсе «Финансовая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она осуществляется по ключевым финансовым вопросам, актуальным в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мире, на основе личного участия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 и др.</w:t>
      </w:r>
    </w:p>
    <w:p w:rsidR="004E6F34" w:rsidRPr="00CC486F" w:rsidRDefault="00312C9D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Развитие коммуникативных универсальных учебных умений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ходе организации интерактивного обучения, включающего в себя создание учебных ситуаций для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: отстаивания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собственной позиции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 xml:space="preserve"> проведения исследований конкретных финансовых проблем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>формулирования выводов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, аргументирования собственной точки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зрения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 выполнения персональных задач, поставленных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перед каждым чле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ном команды, участие в дискуссиях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, сбор, структурирование и представление информации в устной и письменной форме, оформление результатов командного исследования и т. д.</w:t>
      </w:r>
    </w:p>
    <w:p w:rsidR="004E6F34" w:rsidRPr="00CC486F" w:rsidRDefault="00784D76" w:rsidP="00784D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Курс «Финансовая грамотность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» базируется на применении знаний и умений, приобретённых в процессе изучения информатики и ИКТ. Обучающиеся используют эти знания и умения при решении практических финансовых вопросов, например получении онлайн-услуг налоговых органов, коммерческих банков, страховых организаций. </w:t>
      </w:r>
    </w:p>
    <w:p w:rsidR="004E6F34" w:rsidRPr="00CC486F" w:rsidRDefault="004E6F34" w:rsidP="000137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Структура курса включает в себя теоретические положения и практические задания, которые позволят обучающемуся закрепить знания, полученные в ходе изучения конкретной темы курса. </w:t>
      </w:r>
      <w:r w:rsidR="0001379E" w:rsidRPr="00CC486F">
        <w:rPr>
          <w:rFonts w:ascii="Times New Roman" w:eastAsia="Calibri" w:hAnsi="Times New Roman" w:cs="Times New Roman"/>
          <w:sz w:val="28"/>
          <w:szCs w:val="28"/>
        </w:rPr>
        <w:t>Содержание образования обеспечивает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подготовку учащихся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к решению не только текущих, но и перспективных финансовых задач.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 значимо формирование правового самосознания при использовании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>финансовых продуктов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 учётом возможных угроз, вызванных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 xml:space="preserve">глобализацией 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цифровизацией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экономики.</w:t>
      </w:r>
    </w:p>
    <w:p w:rsidR="00843382" w:rsidRPr="00CC486F" w:rsidRDefault="004E6F34" w:rsidP="00BF33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Курс по финансовой грамотности в 10—11 классах требует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подхода к обучению, в процессе которого у обучающихся формируется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14" w:rsidRPr="00CC486F">
        <w:rPr>
          <w:rFonts w:ascii="Times New Roman" w:eastAsia="Calibri" w:hAnsi="Times New Roman" w:cs="Times New Roman"/>
          <w:sz w:val="28"/>
          <w:szCs w:val="28"/>
        </w:rPr>
        <w:t>финансовая компетенция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05DF" w:rsidRPr="00CC486F" w:rsidRDefault="00CA05DF" w:rsidP="006E2E9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73C7E" w:rsidRPr="00CC486F" w:rsidRDefault="00E73C7E" w:rsidP="00530BB1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 xml:space="preserve">Место учебного </w:t>
      </w:r>
      <w:r w:rsidR="00530BB1" w:rsidRPr="00CC486F">
        <w:rPr>
          <w:rFonts w:ascii="Times New Roman" w:hAnsi="Times New Roman"/>
          <w:b/>
          <w:i/>
          <w:sz w:val="28"/>
          <w:szCs w:val="28"/>
        </w:rPr>
        <w:t>курса «Финансовая грамотность. Цифровой мир»</w:t>
      </w:r>
      <w:r w:rsidR="00530BB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hAnsi="Times New Roman"/>
          <w:b/>
          <w:i/>
          <w:sz w:val="28"/>
          <w:szCs w:val="28"/>
        </w:rPr>
        <w:t>в учебном плане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структуре Программа является общеобразовательной, предназначена для реализации на уровне среднего общего образования. Реализация Программы рассчитана на два года обучения (10—11 классы), содержит вариативную часть и может быть предназначена для использования во внеурочной деятельности, предполагает разные варианты формирования календарно-тематического планирования.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ab/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мир»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составлен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 на общую учебную нагрузку в объемах, реализуемых в трёх вариантах: 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17 ч (1 ч в две недели в течение одного года или 1 ч в неделю в течение полугода);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35 ч (1 ч в неделю в течение одного 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70 ч (1 ч в неделю в течение двух лет).</w:t>
      </w:r>
    </w:p>
    <w:p w:rsidR="00626B25" w:rsidRPr="00CC486F" w:rsidRDefault="00626B25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16F56" w:rsidRPr="00CC486F" w:rsidRDefault="00D16F56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Личностные, </w:t>
      </w:r>
      <w:proofErr w:type="spellStart"/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предметные результаты освоения курса</w:t>
      </w:r>
    </w:p>
    <w:p w:rsidR="00920317" w:rsidRPr="00CC486F" w:rsidRDefault="00920317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Результаты изучения учебного предмета «Финансовая грамотность» на уровне </w:t>
      </w:r>
      <w:r w:rsidR="00CA05DF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должны быть ориентированы на применение знаний, умений в учебных ситуациях и реальных жизненных условиях и отражать:</w:t>
      </w:r>
    </w:p>
    <w:p w:rsidR="00D16F56" w:rsidRPr="00CC486F" w:rsidRDefault="00920317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6BC" w:rsidRPr="00CC486F" w:rsidRDefault="00870C80" w:rsidP="00A776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предполагающие</w:t>
      </w:r>
      <w:proofErr w:type="gramEnd"/>
      <w:r w:rsidR="00A776BC" w:rsidRPr="00CC486F">
        <w:rPr>
          <w:rFonts w:ascii="Times New Roman" w:eastAsia="Calibri" w:hAnsi="Times New Roman" w:cs="Times New Roman"/>
          <w:sz w:val="28"/>
          <w:szCs w:val="28"/>
        </w:rPr>
        <w:t xml:space="preserve"> формирование самостоятельности при принятии финансовых решений в сфере управления личными финансами и взаимодействия с финансовыми организациями, что реализуется посредством: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осознания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себя как участника финансовых ситуаций, требующих принятия ответственных решений;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личной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оценки действий субъектов финансовых отношений;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овладения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навыками анализа финансовых отношений на основе их моделирования в виде игровых ситуаций;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готовности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пользоваться своими правами в финансовой сфере;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готовности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использовать возможности, существующие в цифровом мире, для принятия финансовых решений. </w:t>
      </w:r>
    </w:p>
    <w:p w:rsidR="00D16F56" w:rsidRPr="00CC486F" w:rsidRDefault="001D40FE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_Hlk517736979"/>
      <w:proofErr w:type="spellStart"/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включающие:</w:t>
      </w:r>
    </w:p>
    <w:bookmarkEnd w:id="1"/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освоение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способов принятия финансовых решений в изменяющихся условиях;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сбора, обработки, анализа информации в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различных формах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овладение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методами сравнения, обобщения, классификации, формулирования выводов, исходя из конкретной финансовой ситуации;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установление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причинно-следственных связей, логической цепи рассуждений, доказательств при обосновании выбора варианта действий;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гипотезы и её обоснование по дискутируемой теме.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постановка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цели действий в условиях решения конкретной финансовой проблемы;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прогнозирование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рисков использования цифровых денег, изменения их стоимости, функций, видов;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оценка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достоинств и недостатков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при достижении финансовых целей; 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контроль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результатов использования, выбранного способа достижения финансовых целей;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корректировка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процесса достижения финансовой цели с учётом влияния различных факторов;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оценка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результатов реализации принятого финансового решения.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инициирование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сотрудничества в поиске и сборе финансовой информации; 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планирование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>, определение функций и способов взаимодействия обучающихся в игровой форме при обсуждении возможностей для успешного решения финансовых вопросов;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выявление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в области управления личными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выявление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черт сходства и различия, преимуществ и угроз в конкретных финансовых ситуациях;</w:t>
      </w:r>
    </w:p>
    <w:p w:rsidR="00447228" w:rsidRPr="00CC486F" w:rsidRDefault="00F072DA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дискуссиях</w:t>
      </w:r>
      <w:r w:rsidR="00447228" w:rsidRPr="00CC486F">
        <w:rPr>
          <w:rFonts w:ascii="Times New Roman" w:eastAsia="Calibri" w:hAnsi="Times New Roman" w:cs="Times New Roman"/>
          <w:sz w:val="28"/>
          <w:szCs w:val="28"/>
        </w:rPr>
        <w:t xml:space="preserve"> по финансовым вопросам, аргументация своей точки зрения, уважительное отношение к позиции оппонентов;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результатов анализа определённой финансовой проблемы в форме доклада, сообщения с использованием возможностей ИКТ.</w:t>
      </w:r>
    </w:p>
    <w:p w:rsidR="00303047" w:rsidRPr="00CC486F" w:rsidRDefault="00870C80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44722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303047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423" w:rsidRPr="00CC486F" w:rsidRDefault="00303047" w:rsidP="006434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базовых понятий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знаний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отражающих устройство </w:t>
      </w:r>
      <w:r w:rsidR="004919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финансов в глобальном цифровом мире и способов действия человека в нем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ч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еловеческий капитал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нве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роботизация, 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скусственный ин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теллект,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омпетенции будущего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Деньги, природа цифровых денег, инфляция и дефляция,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в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олатильность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банковские карты,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м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обильный интернет-банк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 электронные деньги и кошельки.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Телефонное и интернет-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мошенничество. 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 желания,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инансовая цель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активы и пассивы,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осознанные расходы,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источники дохода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равил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а составления финансового плана,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инансовая «подушка безопасности». Маховик сбережений.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Депозит, простые и сложные проценты, накопительный счёт,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истема страхования вкладов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инвестирование,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финансовые активы,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акции,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г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осударств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енные и корпоративные 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оизводный финансовый инструмент,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пционы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 фьючерсы,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квалифицированный инвестор,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брокер,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нд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ивидуальный инвестиционный счёт, стратегия инвестирования, 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ринципы финансовых пирамид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 xml:space="preserve">. Коммерческий банк, </w:t>
      </w:r>
      <w:proofErr w:type="spellStart"/>
      <w:r w:rsidR="00761220"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="00761220"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кредитные ка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рты, автокредитование, ипотека,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редитная история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кредитный договор, б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анкротство физических лиц.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Идентификация, персональные данные, т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радиционная и биометрическая защита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е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диная система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 xml:space="preserve"> идентификации и аутентификации,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налоговая система,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 на имущество,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н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алог на доходы физических лиц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транспортный налог,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социальные услуги и льготы,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пенсионная система,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траховая и накопительная части пенсии.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="00840ADF" w:rsidRPr="00CC486F">
        <w:rPr>
          <w:rFonts w:ascii="Times New Roman" w:eastAsia="Calibri" w:hAnsi="Times New Roman" w:cs="Times New Roman"/>
          <w:sz w:val="28"/>
          <w:szCs w:val="28"/>
        </w:rPr>
        <w:t>, бизнес-план, бизнес-идея, маркетинговая стратегия,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инансовый план. </w:t>
      </w:r>
    </w:p>
    <w:p w:rsidR="00D16F56" w:rsidRPr="00CC486F" w:rsidRDefault="00FF51A8" w:rsidP="00FF51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</w:t>
      </w:r>
      <w:proofErr w:type="gramEnd"/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0D"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предметных умений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умения вести финансовые расчёты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цифровых ресурсов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различную 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информацию для принятия решений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8E5" w:rsidRPr="00CC486F" w:rsidRDefault="00A918E5" w:rsidP="00FF51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компетенций финансовой грамотности: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прогнозировать востребованность профессиональных компетенций;</w:t>
      </w:r>
    </w:p>
    <w:p w:rsidR="00AD3953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планировать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различить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разные типы денег, понимать сущность происходящих процессов изменения стоимости денег, определять безопасность операций;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личные финансовые цели, понимать основные риски; планировать личные доходы и расходы;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составлять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план достижения финансовых целей и создания финансовой «подушки безопасности»;</w:t>
      </w:r>
    </w:p>
    <w:p w:rsidR="00A918E5" w:rsidRPr="00CC486F" w:rsidRDefault="002C0AEA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="00A918E5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видеть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типичные ошибки при использовании базовых финансовых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различия между финансовыми инструментами, 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различать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банки 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условия предоставления финансовых услуг, видеть возможные последствия;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принципы работы налоговой и пенсионной систем, пользоваться сайтами</w:t>
      </w:r>
      <w:r w:rsidR="006D7CA4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отличать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возможные виды финансовых махинаций и знать способы защиты от них;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порталами, предоставляющими государственные услуги;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защищать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персональную информацию различными способами;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процесс реализации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оценивать необходимые ресурсы и представлять возможные риски; формулировать идею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>, понимать возможности финансирования (в зависимости от конкретных условий);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принимать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осознанные решения при совершении операций с денежными средствами, использовать на практике дистанционные средства управления финансами;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разные виды личного капитала, в том числе финансовые активы и человеческий капитал;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свои финансовые цели в соответствии с возможностями и приоритетами;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варианты инвестирования и выбирать приемлемый в конкретных жизненных обстоятельствах;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действия организации как финансовой пирамиды;</w:t>
      </w:r>
    </w:p>
    <w:p w:rsidR="00D16F56" w:rsidRPr="00CC486F" w:rsidRDefault="00D16F56" w:rsidP="007727A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D8" w:rsidRPr="00CC486F" w:rsidRDefault="00E410D8" w:rsidP="006E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Содержание учебного КУРСА</w:t>
      </w: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«ФИНАНСОВАЯ ГРАМОТНОСТЬ. Цифровой МИР»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1. Личность в мире будущего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прогнозировать востребованнос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ть профессиональных компетенций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разные виды личного капитала, в том числе финансовые активы и человеческий капитал</w:t>
      </w:r>
    </w:p>
    <w:p w:rsidR="00C23400" w:rsidRPr="00CC486F" w:rsidRDefault="00C2340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планировать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2. Деньги в цифровом мире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интернет-банк. Электронные деньги и кошельки. Телефонное мошенничество.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Скимминг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Снифферинг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различить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разные типы денег, понимать сущность происходящих процессов изменения стоимости денег, о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пределять безопасность операций</w:t>
      </w:r>
    </w:p>
    <w:p w:rsidR="008A28D1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отличать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возможные виды финансовых махинаций и знать способы защиты от них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принимать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осознанные решения при совершении операций с денежными средствами, использовать на практике дистанционны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е средства управления финансами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3. Моделирование личных финансов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Потребности и желания. Пирамида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Маслоу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0643C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личные финансовые цели, понимать основные риски; планировать личные доходы и расходы;</w:t>
      </w:r>
    </w:p>
    <w:p w:rsidR="003E6262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свои финансовые цели в соответствии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 xml:space="preserve"> с возможностями и приоритетами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составлять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план достижения финансовых целей и создания финансовой «подушки безопасности»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4. Инструменты сбережения и инвестирования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Производный финансовый инструмент.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видеть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типичные ошибки при использовании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базовых финансовых услуг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различия между финансовыми инструментами, </w:t>
      </w:r>
      <w:r w:rsidR="002C0AEA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условия предоставления финансовых услуг, видеть возможные последствия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использования</w:t>
      </w:r>
    </w:p>
    <w:p w:rsidR="008A28D1" w:rsidRPr="00CC486F" w:rsidRDefault="008A28D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</w:t>
      </w:r>
    </w:p>
    <w:p w:rsidR="00396350" w:rsidRPr="00CC486F" w:rsidRDefault="0039635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варианты инвестирования и выбирать приемлемый в конкретных жизненных обстоятельствах</w:t>
      </w:r>
    </w:p>
    <w:p w:rsidR="003E6262" w:rsidRPr="00CC486F" w:rsidRDefault="00CC0DB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действия организации как финансовой пирамиды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5. Инструменты кредитования и заимствования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Кредит. Кредитные карты. Карты рассрочки. Автокредитование. Ипотека. Коммерческий банк.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="00A0643C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видеть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типичные ошибки при использовании базовых финансовых услуг; </w:t>
      </w:r>
    </w:p>
    <w:p w:rsidR="003B1833" w:rsidRPr="00CC486F" w:rsidRDefault="00F2606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различать</w:t>
      </w:r>
      <w:proofErr w:type="gramEnd"/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банки и </w:t>
      </w:r>
      <w:proofErr w:type="spellStart"/>
      <w:r w:rsidR="003B1833"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условия предоставления финансовых услуг, видеть возможные последствия;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 6</w:t>
      </w:r>
      <w:proofErr w:type="gramEnd"/>
      <w:r w:rsidRPr="00CC486F">
        <w:rPr>
          <w:rFonts w:ascii="Times New Roman" w:eastAsia="Calibri" w:hAnsi="Times New Roman" w:cs="Times New Roman"/>
          <w:i/>
          <w:sz w:val="28"/>
          <w:szCs w:val="28"/>
        </w:rPr>
        <w:t>. Сотрудничество с государством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3E6262" w:rsidRPr="00CC486F" w:rsidRDefault="003E6262" w:rsidP="00F26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6D7CA4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принципы работы налоговой и пенсионной систем, пользоваться сайтами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порталами, предостав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ляющими государственные услуги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защищать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персональную 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нформацию различными способами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Раздел 7. Создайте свой </w:t>
      </w:r>
      <w:proofErr w:type="spellStart"/>
      <w:r w:rsidRPr="00CC486F">
        <w:rPr>
          <w:rFonts w:ascii="Times New Roman" w:eastAsia="Calibri" w:hAnsi="Times New Roman" w:cs="Times New Roman"/>
          <w:i/>
          <w:sz w:val="28"/>
          <w:szCs w:val="28"/>
        </w:rPr>
        <w:t>стартап</w:t>
      </w:r>
      <w:proofErr w:type="spellEnd"/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790F30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Идеи для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Команда для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790F30" w:rsidRPr="00CC486F" w:rsidRDefault="00790F30" w:rsidP="00383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834B5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процесс реализации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оценивать необходимые ресурсы и представлять возможные риски; </w:t>
      </w:r>
    </w:p>
    <w:p w:rsidR="00790F30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идею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>, понимать возможности финансирования (в зав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исимости от конкретных условий)</w:t>
      </w:r>
    </w:p>
    <w:p w:rsidR="002A07AB" w:rsidRPr="00CC486F" w:rsidRDefault="002A07AB" w:rsidP="006E2E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C76" w:rsidRPr="00CC486F" w:rsidRDefault="00357C76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1A8" w:rsidRPr="00CC486F" w:rsidRDefault="00FF51A8" w:rsidP="00BB29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И ОСНОВНЫЕ ВИДЫ УЧЕБНОЙ ДЕЯТЕЛЬНОСТИ</w:t>
      </w:r>
    </w:p>
    <w:p w:rsidR="00FF51A8" w:rsidRPr="00CC486F" w:rsidRDefault="00684542" w:rsidP="00FF51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F51A8" w:rsidRPr="00CC486F">
        <w:rPr>
          <w:rFonts w:ascii="Times New Roman" w:eastAsia="Calibri" w:hAnsi="Times New Roman" w:cs="Times New Roman"/>
          <w:sz w:val="28"/>
          <w:szCs w:val="28"/>
        </w:rPr>
        <w:t>70 ч)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2"/>
        <w:gridCol w:w="5244"/>
      </w:tblGrid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0961E3" w:rsidRPr="00CC486F" w:rsidRDefault="003A0217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  <w:shd w:val="clear" w:color="auto" w:fill="auto"/>
          </w:tcPr>
          <w:p w:rsidR="000961E3" w:rsidRPr="00CC486F" w:rsidRDefault="00FE7E78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учебной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Характеристика основных видов деятельности </w:t>
            </w:r>
          </w:p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486F" w:rsidRPr="00CC486F" w:rsidTr="0065331C">
        <w:trPr>
          <w:trHeight w:val="551"/>
        </w:trPr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  <w:r w:rsidR="006845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ч)</w:t>
            </w:r>
          </w:p>
        </w:tc>
      </w:tr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 урок</w:t>
            </w:r>
          </w:p>
          <w:p w:rsidR="00552A0C" w:rsidRPr="00CC486F" w:rsidRDefault="00552A0C" w:rsidP="00BB2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BB290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Узнают особенности изучаемого предмета и содержание курса; обсуждают цели и задачи курса обучения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Личность в мире будущего </w:t>
            </w:r>
            <w:r w:rsidR="006845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1.1. Скорость жизни в современном мире и человеческий капитал или планируйте жизнь на перспективу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FE7E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элемент человеческого капитала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Обсуждают навыки будущего, важность и необходимость их развития для себя; формулируют и высказывают свою точку зрения, приводят аргументы; анализируют мнения других учащихся; систематизируют знания по теме; формулируют своё отношение к обсуждаемым темам в письменной форме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00E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1.2. Профессии будущего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C486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gramEnd"/>
            <w:r w:rsidRPr="00CC486F">
              <w:rPr>
                <w:rFonts w:ascii="Times New Roman" w:hAnsi="Times New Roman" w:cs="Times New Roman"/>
                <w:sz w:val="28"/>
                <w:szCs w:val="28"/>
              </w:rPr>
              <w:t>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возможных проблемах использования искусственного интеллекта; сопоставляют факты развития науки и общества и возникновения новых профессий; анализируют востребованные профессии цифрового мира, делают выводы о необходимости развития навыков и компетенций;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Дискутируют о востребованных профессиях «сегодня» и «завтра»; выделяют особенности фундаментального образования и приводят аргументы для выбора направлений фундаментального образования;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результаты проведённого опроса, обобщают результаты и сопоставляют полученный и ожидаемый результаты 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Представляют презентации или устные доклады как результат своей деятельности;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составляют предварительный план своей жизни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2. Деньги в цифровом мире </w:t>
            </w:r>
            <w:r w:rsidR="006845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2.1 Эволюция денег и их стоимость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 этапы эволюции денег, приводят примеры; формируют понимание понятия электронных денег; сравнивают возможности использования разных видов денег; оценивают полученные знания и умения;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находят информацию об изготовлении денег в разные периоды истории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Сопоставляют факты из истории становления финансовой системы, находят закономерности, делают прогнозы; узнают о способах подделки разных видов денег, и возможностях распознавания фальшивых банкнот; показывают осведомлённость о различных формах безналичных денег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узнают о процессах изменения стоимости денег, рассматривают примеры; оценивают процесс инфляции с разных позиций, выделяют положительные и отрицательные стороны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особенности цифровых денег, формируют личное отношение на основании изученного материала;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2.2. Дистанционные способы управления деньгами</w:t>
            </w:r>
          </w:p>
          <w:p w:rsidR="00552A0C" w:rsidRPr="00CC486F" w:rsidRDefault="00552A0C" w:rsidP="00D76B75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кредитные карты, узнают назначение отдельных символов; обсуждают возможности управления безналичными деньгами; анализируют взаимосвязь формирования номеров банковских карт и их безопасного использования; формулируют и высказывают свою точку зрения; анализируют банковские предложения о выпуске банковских карт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дистанционном управлении безналичными деньгами; работают с сайтами банков; работают с мобильными приложениями для банковского обслуживания;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Дискутируют о процессе сбора и обработки информации в условиях цифрового мира;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совместно с одноклассниками, используя мобильные приложения банков; делают выводы о пользовании такими приложениями;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2.3. Риски и мошенники в цифровом мире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способы мошенничества и обсуждают способы защиты; дискутируют о правилах сбора и обработки информации пользователей, приводят аргументы и рассматривают примеры; проводят опрос окружающих людей о действиях при получении подозрительных смс-сообщений, анализируют информацию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телефонное мошенничество, приводят примеры, разбирают возможные ситуации; представляют результат домашнего задания;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скимминг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, приводят примеры, разбирают возможные ситуации; собирают информацию и формулируют советы для размещения на листовке-предупреждении;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фишинг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снифферинг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, приводят примеры, разбирают возможные ситуации; систематизируют информацию, ищут дополнительные сведения в случае необходимости, разрабатывают сценарий практического занятия для учащихся младших классов; обсуждают с одноклассниками результаты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 Моделирование личных финансов </w:t>
            </w:r>
            <w:r w:rsidR="006845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финансовые цели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обсуждают результаты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результаты исследований о тратах людей в разных странах мира; анализируют фактическую и статистическую информацию, сопоставляют факты и выделяют закономерности; проводят сравнительный анализ статей расходов, формулируют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представленные темы, выбирают наиболее интересную для написания эссе;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доходами и расходами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изменения активов в цифровом мире, приводят примеры; высказывают свою точку зрения касаемо изучаемых тем; коллективно выполняют задания, аргументируя свои позиции;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Проводят оптимизацию активов и пассивов на примере из практической работы, предлагают свой вариант, узнают о вариантах по оптимизации предложенных одноклассниками, и обсуждают их перспективы; обсуждают возможности страхования рисков, формулируют советы; составляют личный финансовый план;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знания о страховании рисков, анализируют предложения разных страховых компаний, выделяют критерии оценивания и сравнивания; представляют результат работы, обосновывают выбор;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информацию, делают выводы; оценивают свои знания и умения;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Инструменты сбережения и инвестирования </w:t>
            </w:r>
            <w:r w:rsidR="006845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4.1. Формирование сбережений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(сберегайте надёжно)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интернет-сервисов и мобильных банков для сбережений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различия между депозитом и накопительным счётом, выделяют преимущества страхования; обсуждают различия между депозитом и накопительным счётом;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различные предложения банков, выделяют критерии сравнивания и выбирают наиболее подходящий вариант;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знания о сбережениях, обсуждают финансовые цели человека, оценивают выбор действий в разных ситуациях; анализируют свои знания и умения, формируют план ближайшего развития; высказывают своё мнение о сбережениях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Грамотное инвестирование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(инвестируйте с умом)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A1A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Читают текст параграфа и смотрят видео, выделяют и объясняют ключевые понятия; обсуждают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оценивают инвестиционный портфель и предлагают его возможные изменения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возможностях начинающих инвесторов, рассматривают особенности процессов инвестирования и способов оптимизации; изучают возможности открытия брокерского счёта на сайтах разных банков; готовят доклады для выступлений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предложенные практические задания, сопоставляют данные и принимают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подводят индивидуальный промежуточный итог,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4.3. Риски финансовых пирамид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(остерегайтесь финансовых пирамид)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Узнают о финансовых пирамидах, обсуждают принципы их функционирования; анализируют причины распространения финансовых пирамид и их краха; формулируют и высказывают свою точку зрения, приводят аргументы; анализируют мнения других учащихся; формулируют индивидуальную тему для конференции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 результат своей работы, задают и отвечают на вопросы;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 систематизируют знания по всем темам главы 4; составляют тест по информации из этой главы; оценивают полученные знания и умения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мошенничестве (при необходимости дополняют её из других источников); создают сценарий урока для одной из представленных возрастных категорий с учётом их особенностей;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5. Инструменты кредитования и заимствования </w:t>
            </w:r>
            <w:r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5.1. Разумное кредитование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Актуализируют знания о потребностях человека, сопоставляют потребности и количество денежных средств, необходимых для их удовлетворения; читают текст параграфа,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и анализируют банковские предложения по кредитам и кредитным картам в разных банках, самостоятельно выделяют критерии сравнения;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ипотечное кредитование, выделяют положительные и отрицательные стороны; формируют собственное отношение к проблеме; объясняют ключевые понятия;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подготовленные учащимися доклады; формулируют и высказывают свою точку зрения, приводят аргументы; анализируют мнения других учащихся; оценивают проделанную работу и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5.2. Условия кредита и займа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Рассматривают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Пользуются кредитным онлайн-калькулятором на сайтах разных банков, анализируют возможности;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Комментируют полученную из видео информацию; принимают решение исходя из условий задания, объясняют выбор своего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Сравнивают принципы заимствования в банках и МФО, выделяют ключевые различия; узнают об особенностях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коллекторской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деятельности; рассматривают процесс банкротства физических лиц и условия возникновения такого явления; оценивают свои знания и умения</w:t>
            </w:r>
          </w:p>
        </w:tc>
      </w:tr>
      <w:tr w:rsidR="00CC486F" w:rsidRPr="00CC486F" w:rsidTr="005E3B0A">
        <w:trPr>
          <w:trHeight w:val="1065"/>
        </w:trPr>
        <w:tc>
          <w:tcPr>
            <w:tcW w:w="2235" w:type="dxa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работа </w:t>
            </w:r>
          </w:p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Выполняют проектную работу: придумывают идею для ролика; ставят задачи; составляют план действий для реализации задач; распределяют обязанности; составляют сценарий; выполняют съёмки и монтаж видео; представляют и обсуждают результат; проводят рефлексию проделанной работы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6845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6. Сотрудничество с государством </w:t>
            </w:r>
            <w:r w:rsidR="006845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6.1. Грамотное взаимодействие с государством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Исследуют порталы и сайты, связанные с предоставлением государственных услуг; анализируют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видах идентификации личности в России и других странах, обсуждают проблемы и перспективы; дискутируют на тему безопасности персональных данных; анализируют ЕСИА, описывают функциональные возможности портала; выполняют практическое задание; проводят опрос о персональных данных и средствах их защиты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Обсуждают особенности цифрового мира, личности в нём и взаимодействия личности с государством; обсуждают результаты проведённого опроса;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Дополняют и актуализируют знания, объясняют ключевые понятия темы, формулируют выводы;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позицию;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 позаботься о пенсии)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Актуализируют знания и собирают дополнительную информацию о пенсионной системе; обсуждают виды и параметры пенсии, анализируют факторы, определяющие размер пенсии;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представляют результат своей работы; исследуют сайт Пенсионного фонда РФ, описывают его функционал; анализируют новую пенсионную формулу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возможности получения двух пенсий одновременно;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знания, оценивают умения; формулируют своё отношение к изучаемой теме;</w:t>
            </w:r>
            <w:r w:rsidRPr="00CC48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 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7. Создание </w:t>
            </w:r>
            <w:proofErr w:type="spellStart"/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стартапа</w:t>
            </w:r>
            <w:proofErr w:type="spellEnd"/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845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идей для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</w:p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сущность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историю возникновения такого направления деятельности; выдвигают идеи для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обсуждают их и аргументируют; разрабатывают идею для групповой работы над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стартапом</w:t>
            </w:r>
            <w:proofErr w:type="spellEnd"/>
          </w:p>
        </w:tc>
      </w:tr>
      <w:tr w:rsidR="00CC486F" w:rsidRPr="00CC486F" w:rsidTr="005E3B0A">
        <w:trPr>
          <w:trHeight w:val="2913"/>
        </w:trPr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7.2. Планирование реализации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-проектная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790E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необходимость планирования деятельности; формулируют и высказывают свою точку зрения, приводят аргументы; анализируют мнения других учащихся; составляют план развития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стартапа</w:t>
            </w:r>
            <w:proofErr w:type="spellEnd"/>
          </w:p>
        </w:tc>
      </w:tr>
      <w:tr w:rsidR="00CC486F" w:rsidRPr="00CC486F" w:rsidTr="005E3B0A">
        <w:trPr>
          <w:trHeight w:val="48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7.3. Принятие предпринимательских решений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-практическая</w:t>
            </w: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454F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и анализируют представленные группами идеи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выделяют сильные и слабые стороны; обсуждают возможные проблемы, с которыми могут столкнуться представленные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стартапы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Обсуждают возможные способы продвижения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исследуют интернет-пространство в поисках сайтов для продвижения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анализируют их функциональные возможности;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Повторение, обобщение курса</w:t>
            </w:r>
            <w:r w:rsidRPr="00CC48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свой уровень финансовой грамотности (2 ч)</w:t>
            </w:r>
          </w:p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6B2F8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C61F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Обобщают и систематизируют проделанную работу, формулируют основные выводы;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5E3B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Рефлексия: чему я научился на занятиях по финансовой грамотности (2 ч)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5F4B4F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 времени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(2 ч)</w:t>
            </w:r>
          </w:p>
        </w:tc>
      </w:tr>
    </w:tbl>
    <w:p w:rsidR="003834B5" w:rsidRPr="00CC486F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4B5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Учебно-методическое и материально-техническое обеспечение учебного процесса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большинства занятий не требуется специального оборудования, однако хорошим дополнением будет наличие у обучающихся персональных компьютеров с выходом в Интернет или проектора с экраном с выходом в Интернет. Данные возможности позволяют наглядно иллюстрировать функционирование определённых финансовых инструментов, показывать учащимся различные сайты финансовых организаций, научить пользоваться различными финансовыми калькуляторами,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агрегаторами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информации.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60C3E" w:rsidRPr="00560C3E" w:rsidRDefault="00FD40DC" w:rsidP="006E2E9B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https://вашифинансы.рф — совместный проект Министерства финансов и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огромная коллекция материалов по финансовой грамотности для населения России. Школьникам стоит обратить особое внимание на разделы «Детям и молодёжи о финансах» и «Финансовые калькуляторы».</w:t>
      </w:r>
    </w:p>
    <w:p w:rsidR="00560C3E" w:rsidRPr="00560C3E" w:rsidRDefault="009A7F21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портал о финансовой культуре, созданный Банком России. Школьникам стоит обратить особое внимание на разделы «Всё о финансах» и «Сервисы».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</w:t>
      </w:r>
      <w:hyperlink r:id="rId8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хочумогузнаю.рф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коллекция материалов по финансовой грамотности. Школьникам стоит обратить особое внимание на разделы «Финансовые услуги» и «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https://fingram.oc3.ru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интерактивный практикум «Понимаю финансовый договор» от компании ОС3 поможет понять свои риски перед приобретением различных финансовых услуг. 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http://www.financialfootball.ru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онлайн-игра «Финансовый футбол» от компании </w:t>
      </w: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VISA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Российской экономической школы.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0C3E">
        <w:rPr>
          <w:rFonts w:ascii="Times New Roman" w:eastAsia="Calibri" w:hAnsi="Times New Roman" w:cs="Times New Roman"/>
          <w:sz w:val="28"/>
          <w:szCs w:val="28"/>
        </w:rPr>
        <w:t>http://happy-finance.ru — настольная игра по финансовой грамотности.</w:t>
      </w:r>
    </w:p>
    <w:p w:rsidR="00FD40DC" w:rsidRPr="00274F5A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A0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: https://esia.gosuslugi.ru.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Пенсионный фонд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09CD">
        <w:rPr>
          <w:rFonts w:ascii="Times New Roman" w:hAnsi="Times New Roman" w:cs="Times New Roman"/>
          <w:sz w:val="28"/>
          <w:szCs w:val="28"/>
        </w:rPr>
        <w:t>://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0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F5A">
        <w:rPr>
          <w:rFonts w:ascii="Times New Roman" w:hAnsi="Times New Roman" w:cs="Times New Roman"/>
          <w:sz w:val="28"/>
          <w:szCs w:val="28"/>
          <w:lang w:val="en-US"/>
        </w:rPr>
        <w:t>pfrf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F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>/.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://</w:t>
        </w:r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09CD">
        <w:rPr>
          <w:rStyle w:val="afd"/>
          <w:rFonts w:ascii="Times New Roman" w:hAnsi="Times New Roman" w:cs="Times New Roman"/>
          <w:sz w:val="28"/>
          <w:szCs w:val="28"/>
        </w:rPr>
        <w:t>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Блискавка</w:t>
      </w:r>
      <w:proofErr w:type="spellEnd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Е.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деньги. Самоучитель семейных финансов для детей / Е.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Шефер</w:t>
      </w:r>
      <w:proofErr w:type="spellEnd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Мани, или Азбука денег / Б.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Попурри, 2016.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Гейл, К.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Начинающий инвестор. Руководство по накоплению и инвестированию для смышлёных детей / К. Гейл, Д.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Хонинг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</w:t>
      </w:r>
    </w:p>
    <w:p w:rsidR="00CC486F" w:rsidRDefault="00560C3E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комплект по финансовой грамотности, разработанный в рамках Проекта Минфина России для 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(2018).</w:t>
      </w:r>
    </w:p>
    <w:p w:rsidR="00CC486F" w:rsidRPr="00CC486F" w:rsidRDefault="00CC486F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Чумаченко, В. В. Основы финансовой грамотности / В. В. Чумаченко, В. П. Горяев. — 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2020.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материалы для учителя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https://вашифинансы.рф — помимо разделов, указанных в списке информационно-образовательных ресурсов, учителям стоит обратить особое внимание на раздел «Библиотека».</w:t>
      </w:r>
    </w:p>
    <w:p w:rsidR="00560C3E" w:rsidRPr="00560C3E" w:rsidRDefault="009A7F21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помимо разделов, указанных в списке информационно-образовательных ресурсов, учителям стоит обратить особое внимание на раздел «Преподавание».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https://fmc.hse.ru/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сайт Федерального методического центра Национального исследовательского университета «Высшая школа экономики». Представлены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по финансовой грамотности, а также банк методических разработок учителей.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560C3E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http://edu.pacc.ru</w:t>
        </w:r>
      </w:hyperlink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проекты по финансовой грамотности компании ПАКК. Особенно интересны материалы </w:t>
      </w:r>
      <w:r w:rsidR="002A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«Финансы в кино», «Финансы и литература»,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«Финансы и математика». </w:t>
      </w:r>
    </w:p>
    <w:p w:rsidR="000A5C85" w:rsidRPr="000A5C85" w:rsidRDefault="000A5C85" w:rsidP="006E2E9B">
      <w:pPr>
        <w:spacing w:after="0" w:line="360" w:lineRule="auto"/>
        <w:jc w:val="both"/>
        <w:rPr>
          <w:sz w:val="24"/>
        </w:rPr>
      </w:pPr>
    </w:p>
    <w:sectPr w:rsidR="000A5C85" w:rsidRPr="000A5C85" w:rsidSect="003247D1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21" w:rsidRDefault="009A7F21" w:rsidP="003247D1">
      <w:pPr>
        <w:spacing w:after="0" w:line="240" w:lineRule="auto"/>
      </w:pPr>
      <w:r>
        <w:separator/>
      </w:r>
    </w:p>
  </w:endnote>
  <w:endnote w:type="continuationSeparator" w:id="0">
    <w:p w:rsidR="009A7F21" w:rsidRDefault="009A7F21" w:rsidP="003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21" w:rsidRDefault="009A7F21" w:rsidP="003247D1">
      <w:pPr>
        <w:spacing w:after="0" w:line="240" w:lineRule="auto"/>
      </w:pPr>
      <w:r>
        <w:separator/>
      </w:r>
    </w:p>
  </w:footnote>
  <w:footnote w:type="continuationSeparator" w:id="0">
    <w:p w:rsidR="009A7F21" w:rsidRDefault="009A7F21" w:rsidP="003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255778"/>
      <w:docPartObj>
        <w:docPartGallery w:val="Page Numbers (Top of Page)"/>
        <w:docPartUnique/>
      </w:docPartObj>
    </w:sdtPr>
    <w:sdtEndPr/>
    <w:sdtContent>
      <w:p w:rsidR="003247D1" w:rsidRDefault="003247D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42">
          <w:rPr>
            <w:noProof/>
          </w:rPr>
          <w:t>21</w:t>
        </w:r>
        <w:r>
          <w:fldChar w:fldCharType="end"/>
        </w:r>
      </w:p>
    </w:sdtContent>
  </w:sdt>
  <w:p w:rsidR="003247D1" w:rsidRDefault="003247D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D1" w:rsidRDefault="003247D1">
    <w:pPr>
      <w:pStyle w:val="af9"/>
      <w:jc w:val="right"/>
    </w:pPr>
  </w:p>
  <w:p w:rsidR="003247D1" w:rsidRDefault="003247D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3A7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7134A"/>
    <w:multiLevelType w:val="hybridMultilevel"/>
    <w:tmpl w:val="3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52C"/>
    <w:multiLevelType w:val="hybridMultilevel"/>
    <w:tmpl w:val="BE4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291"/>
    <w:multiLevelType w:val="hybridMultilevel"/>
    <w:tmpl w:val="3AB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009"/>
    <w:multiLevelType w:val="hybridMultilevel"/>
    <w:tmpl w:val="A13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8D0"/>
    <w:multiLevelType w:val="hybridMultilevel"/>
    <w:tmpl w:val="845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FE8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7792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845FA4"/>
    <w:multiLevelType w:val="hybridMultilevel"/>
    <w:tmpl w:val="47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587C"/>
    <w:multiLevelType w:val="hybridMultilevel"/>
    <w:tmpl w:val="B19A0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D4B3C"/>
    <w:multiLevelType w:val="hybridMultilevel"/>
    <w:tmpl w:val="485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7FAA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F777E"/>
    <w:multiLevelType w:val="hybridMultilevel"/>
    <w:tmpl w:val="731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E2653"/>
    <w:multiLevelType w:val="hybridMultilevel"/>
    <w:tmpl w:val="3E721A6C"/>
    <w:lvl w:ilvl="0" w:tplc="2A7C5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68EE"/>
    <w:multiLevelType w:val="hybridMultilevel"/>
    <w:tmpl w:val="76DC3116"/>
    <w:lvl w:ilvl="0" w:tplc="A8EE1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403"/>
    <w:multiLevelType w:val="hybridMultilevel"/>
    <w:tmpl w:val="994A21C2"/>
    <w:lvl w:ilvl="0" w:tplc="96B08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45382"/>
    <w:multiLevelType w:val="hybridMultilevel"/>
    <w:tmpl w:val="F84C25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3146"/>
    <w:multiLevelType w:val="hybridMultilevel"/>
    <w:tmpl w:val="C37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551E1"/>
    <w:multiLevelType w:val="hybridMultilevel"/>
    <w:tmpl w:val="832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A28"/>
    <w:multiLevelType w:val="hybridMultilevel"/>
    <w:tmpl w:val="262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C5952"/>
    <w:multiLevelType w:val="hybridMultilevel"/>
    <w:tmpl w:val="C07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64CA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078BD"/>
    <w:multiLevelType w:val="hybridMultilevel"/>
    <w:tmpl w:val="4B7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A7EB1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8"/>
  </w:num>
  <w:num w:numId="5">
    <w:abstractNumId w:val="9"/>
  </w:num>
  <w:num w:numId="6">
    <w:abstractNumId w:val="24"/>
  </w:num>
  <w:num w:numId="7">
    <w:abstractNumId w:val="27"/>
  </w:num>
  <w:num w:numId="8">
    <w:abstractNumId w:val="25"/>
  </w:num>
  <w:num w:numId="9">
    <w:abstractNumId w:val="14"/>
  </w:num>
  <w:num w:numId="10">
    <w:abstractNumId w:val="28"/>
  </w:num>
  <w:num w:numId="11">
    <w:abstractNumId w:val="13"/>
  </w:num>
  <w:num w:numId="12">
    <w:abstractNumId w:val="23"/>
  </w:num>
  <w:num w:numId="13">
    <w:abstractNumId w:val="6"/>
  </w:num>
  <w:num w:numId="14">
    <w:abstractNumId w:val="17"/>
  </w:num>
  <w:num w:numId="15">
    <w:abstractNumId w:val="11"/>
  </w:num>
  <w:num w:numId="16">
    <w:abstractNumId w:val="10"/>
  </w:num>
  <w:num w:numId="17">
    <w:abstractNumId w:val="21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5"/>
  </w:num>
  <w:num w:numId="25">
    <w:abstractNumId w:val="3"/>
  </w:num>
  <w:num w:numId="26">
    <w:abstractNumId w:val="22"/>
  </w:num>
  <w:num w:numId="27">
    <w:abstractNumId w:val="2"/>
  </w:num>
  <w:num w:numId="28">
    <w:abstractNumId w:val="29"/>
  </w:num>
  <w:num w:numId="29">
    <w:abstractNumId w:val="1"/>
  </w:num>
  <w:num w:numId="30">
    <w:abstractNumId w:val="30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34"/>
    <w:rsid w:val="00005292"/>
    <w:rsid w:val="0001379E"/>
    <w:rsid w:val="000178DA"/>
    <w:rsid w:val="00044AE2"/>
    <w:rsid w:val="000722D5"/>
    <w:rsid w:val="0007784A"/>
    <w:rsid w:val="000851EC"/>
    <w:rsid w:val="00085761"/>
    <w:rsid w:val="000907B1"/>
    <w:rsid w:val="000961E3"/>
    <w:rsid w:val="000A5C85"/>
    <w:rsid w:val="000B1387"/>
    <w:rsid w:val="000B5FC8"/>
    <w:rsid w:val="000B64A0"/>
    <w:rsid w:val="000B6796"/>
    <w:rsid w:val="000D0414"/>
    <w:rsid w:val="000D41DB"/>
    <w:rsid w:val="000F0C0A"/>
    <w:rsid w:val="000F1688"/>
    <w:rsid w:val="0011436B"/>
    <w:rsid w:val="0012007C"/>
    <w:rsid w:val="00127DE7"/>
    <w:rsid w:val="00133D38"/>
    <w:rsid w:val="001356B8"/>
    <w:rsid w:val="001455A0"/>
    <w:rsid w:val="001463E1"/>
    <w:rsid w:val="001662E5"/>
    <w:rsid w:val="001725FE"/>
    <w:rsid w:val="00174124"/>
    <w:rsid w:val="001820F5"/>
    <w:rsid w:val="001835AA"/>
    <w:rsid w:val="001A00A1"/>
    <w:rsid w:val="001A3733"/>
    <w:rsid w:val="001B624D"/>
    <w:rsid w:val="001C75EB"/>
    <w:rsid w:val="001D40FE"/>
    <w:rsid w:val="001F1505"/>
    <w:rsid w:val="001F7149"/>
    <w:rsid w:val="00215395"/>
    <w:rsid w:val="00234456"/>
    <w:rsid w:val="0024118C"/>
    <w:rsid w:val="00245B5B"/>
    <w:rsid w:val="0025098A"/>
    <w:rsid w:val="00256808"/>
    <w:rsid w:val="002A07AB"/>
    <w:rsid w:val="002A1AC0"/>
    <w:rsid w:val="002A3100"/>
    <w:rsid w:val="002A5932"/>
    <w:rsid w:val="002A7EA9"/>
    <w:rsid w:val="002C0AEA"/>
    <w:rsid w:val="002C22E1"/>
    <w:rsid w:val="002C6383"/>
    <w:rsid w:val="002D3469"/>
    <w:rsid w:val="002D4A49"/>
    <w:rsid w:val="002D4AF3"/>
    <w:rsid w:val="002E4E9A"/>
    <w:rsid w:val="002E51BB"/>
    <w:rsid w:val="002E6F18"/>
    <w:rsid w:val="002F72E2"/>
    <w:rsid w:val="00300D50"/>
    <w:rsid w:val="00301449"/>
    <w:rsid w:val="00303047"/>
    <w:rsid w:val="00312C9D"/>
    <w:rsid w:val="003247D1"/>
    <w:rsid w:val="00336001"/>
    <w:rsid w:val="00336C03"/>
    <w:rsid w:val="00357617"/>
    <w:rsid w:val="00357C76"/>
    <w:rsid w:val="00370CDA"/>
    <w:rsid w:val="003834B5"/>
    <w:rsid w:val="00387342"/>
    <w:rsid w:val="00395697"/>
    <w:rsid w:val="00396350"/>
    <w:rsid w:val="003A0217"/>
    <w:rsid w:val="003B1833"/>
    <w:rsid w:val="003C054B"/>
    <w:rsid w:val="003D7BD1"/>
    <w:rsid w:val="003E5E61"/>
    <w:rsid w:val="003E6262"/>
    <w:rsid w:val="003F17A1"/>
    <w:rsid w:val="00400E80"/>
    <w:rsid w:val="00405780"/>
    <w:rsid w:val="00422DDE"/>
    <w:rsid w:val="00434C26"/>
    <w:rsid w:val="00436583"/>
    <w:rsid w:val="00436658"/>
    <w:rsid w:val="00447228"/>
    <w:rsid w:val="00453E40"/>
    <w:rsid w:val="0046356D"/>
    <w:rsid w:val="00472987"/>
    <w:rsid w:val="00473227"/>
    <w:rsid w:val="00484C73"/>
    <w:rsid w:val="0049190D"/>
    <w:rsid w:val="00492147"/>
    <w:rsid w:val="00496E44"/>
    <w:rsid w:val="004B425D"/>
    <w:rsid w:val="004B68B5"/>
    <w:rsid w:val="004C0C92"/>
    <w:rsid w:val="004C5B94"/>
    <w:rsid w:val="004E4524"/>
    <w:rsid w:val="004E6F34"/>
    <w:rsid w:val="00524213"/>
    <w:rsid w:val="00530BB1"/>
    <w:rsid w:val="00540786"/>
    <w:rsid w:val="005412B8"/>
    <w:rsid w:val="00552A0C"/>
    <w:rsid w:val="00560563"/>
    <w:rsid w:val="00560C3E"/>
    <w:rsid w:val="005613DD"/>
    <w:rsid w:val="00576062"/>
    <w:rsid w:val="00597FC0"/>
    <w:rsid w:val="005B67AC"/>
    <w:rsid w:val="005C45B2"/>
    <w:rsid w:val="005C4941"/>
    <w:rsid w:val="005D4E92"/>
    <w:rsid w:val="005E0500"/>
    <w:rsid w:val="005E3B0A"/>
    <w:rsid w:val="005F58A5"/>
    <w:rsid w:val="005F6F26"/>
    <w:rsid w:val="006142A8"/>
    <w:rsid w:val="00614EEC"/>
    <w:rsid w:val="00622B29"/>
    <w:rsid w:val="00625179"/>
    <w:rsid w:val="00626B25"/>
    <w:rsid w:val="00641888"/>
    <w:rsid w:val="00643423"/>
    <w:rsid w:val="00645DA7"/>
    <w:rsid w:val="006536D7"/>
    <w:rsid w:val="0066772D"/>
    <w:rsid w:val="006679B4"/>
    <w:rsid w:val="00684542"/>
    <w:rsid w:val="006943B5"/>
    <w:rsid w:val="006B2F8E"/>
    <w:rsid w:val="006C04AD"/>
    <w:rsid w:val="006C7319"/>
    <w:rsid w:val="006C7DBD"/>
    <w:rsid w:val="006D7CA4"/>
    <w:rsid w:val="006E13BE"/>
    <w:rsid w:val="006E1E97"/>
    <w:rsid w:val="006E2E9B"/>
    <w:rsid w:val="006F6626"/>
    <w:rsid w:val="00700574"/>
    <w:rsid w:val="007075C5"/>
    <w:rsid w:val="007078CC"/>
    <w:rsid w:val="007125A4"/>
    <w:rsid w:val="00717F9E"/>
    <w:rsid w:val="00721657"/>
    <w:rsid w:val="00726B10"/>
    <w:rsid w:val="00727015"/>
    <w:rsid w:val="00731ECA"/>
    <w:rsid w:val="007352F2"/>
    <w:rsid w:val="00761220"/>
    <w:rsid w:val="00765036"/>
    <w:rsid w:val="007727AF"/>
    <w:rsid w:val="0078187C"/>
    <w:rsid w:val="00784D76"/>
    <w:rsid w:val="00790E5E"/>
    <w:rsid w:val="00790F30"/>
    <w:rsid w:val="00796B22"/>
    <w:rsid w:val="007E3374"/>
    <w:rsid w:val="007E774C"/>
    <w:rsid w:val="007F7536"/>
    <w:rsid w:val="00802949"/>
    <w:rsid w:val="00822A3E"/>
    <w:rsid w:val="008238DF"/>
    <w:rsid w:val="008242E9"/>
    <w:rsid w:val="00824766"/>
    <w:rsid w:val="00840ADF"/>
    <w:rsid w:val="00843382"/>
    <w:rsid w:val="008658CF"/>
    <w:rsid w:val="00870C80"/>
    <w:rsid w:val="0089382E"/>
    <w:rsid w:val="008A28D1"/>
    <w:rsid w:val="008C29CB"/>
    <w:rsid w:val="008C34C2"/>
    <w:rsid w:val="008C6AC3"/>
    <w:rsid w:val="008E1E52"/>
    <w:rsid w:val="008F5919"/>
    <w:rsid w:val="00904D25"/>
    <w:rsid w:val="009177C6"/>
    <w:rsid w:val="00920317"/>
    <w:rsid w:val="00931007"/>
    <w:rsid w:val="009314D2"/>
    <w:rsid w:val="00937D35"/>
    <w:rsid w:val="00940443"/>
    <w:rsid w:val="00953856"/>
    <w:rsid w:val="009619B8"/>
    <w:rsid w:val="009730EC"/>
    <w:rsid w:val="009A7F21"/>
    <w:rsid w:val="009B1975"/>
    <w:rsid w:val="009B3EC1"/>
    <w:rsid w:val="009C38D5"/>
    <w:rsid w:val="009C7289"/>
    <w:rsid w:val="009E7A0D"/>
    <w:rsid w:val="00A0002F"/>
    <w:rsid w:val="00A0643C"/>
    <w:rsid w:val="00A30F18"/>
    <w:rsid w:val="00A32152"/>
    <w:rsid w:val="00A330C5"/>
    <w:rsid w:val="00A613B0"/>
    <w:rsid w:val="00A667C0"/>
    <w:rsid w:val="00A75AA4"/>
    <w:rsid w:val="00A776BC"/>
    <w:rsid w:val="00A918E5"/>
    <w:rsid w:val="00AA3AF5"/>
    <w:rsid w:val="00AB0154"/>
    <w:rsid w:val="00AB2834"/>
    <w:rsid w:val="00AB35FA"/>
    <w:rsid w:val="00AC6E66"/>
    <w:rsid w:val="00AD3953"/>
    <w:rsid w:val="00AD5EC1"/>
    <w:rsid w:val="00AE205B"/>
    <w:rsid w:val="00AF0A02"/>
    <w:rsid w:val="00AF17EB"/>
    <w:rsid w:val="00B21830"/>
    <w:rsid w:val="00B249E1"/>
    <w:rsid w:val="00B24A77"/>
    <w:rsid w:val="00B44FC4"/>
    <w:rsid w:val="00BA3F40"/>
    <w:rsid w:val="00BB3172"/>
    <w:rsid w:val="00BC20CA"/>
    <w:rsid w:val="00BC6CBC"/>
    <w:rsid w:val="00BD7121"/>
    <w:rsid w:val="00BE368D"/>
    <w:rsid w:val="00BE40A9"/>
    <w:rsid w:val="00BF3314"/>
    <w:rsid w:val="00BF3B30"/>
    <w:rsid w:val="00C03259"/>
    <w:rsid w:val="00C06430"/>
    <w:rsid w:val="00C07672"/>
    <w:rsid w:val="00C152FB"/>
    <w:rsid w:val="00C23400"/>
    <w:rsid w:val="00C34350"/>
    <w:rsid w:val="00C41047"/>
    <w:rsid w:val="00C443FB"/>
    <w:rsid w:val="00C61F66"/>
    <w:rsid w:val="00C70A85"/>
    <w:rsid w:val="00C752E5"/>
    <w:rsid w:val="00CA05DF"/>
    <w:rsid w:val="00CB75A3"/>
    <w:rsid w:val="00CC0DBE"/>
    <w:rsid w:val="00CC286A"/>
    <w:rsid w:val="00CC486F"/>
    <w:rsid w:val="00CE3E77"/>
    <w:rsid w:val="00CE5E67"/>
    <w:rsid w:val="00D06488"/>
    <w:rsid w:val="00D16F56"/>
    <w:rsid w:val="00D225E6"/>
    <w:rsid w:val="00D47889"/>
    <w:rsid w:val="00D54664"/>
    <w:rsid w:val="00D653B5"/>
    <w:rsid w:val="00D70111"/>
    <w:rsid w:val="00D76B75"/>
    <w:rsid w:val="00D81C02"/>
    <w:rsid w:val="00D95561"/>
    <w:rsid w:val="00DC74C7"/>
    <w:rsid w:val="00DE030E"/>
    <w:rsid w:val="00DE52F5"/>
    <w:rsid w:val="00DE63D8"/>
    <w:rsid w:val="00DF7F01"/>
    <w:rsid w:val="00E02300"/>
    <w:rsid w:val="00E16C23"/>
    <w:rsid w:val="00E312D3"/>
    <w:rsid w:val="00E410D8"/>
    <w:rsid w:val="00E46FE7"/>
    <w:rsid w:val="00E56431"/>
    <w:rsid w:val="00E72AC2"/>
    <w:rsid w:val="00E73C7E"/>
    <w:rsid w:val="00E747E9"/>
    <w:rsid w:val="00E91AAB"/>
    <w:rsid w:val="00E96EBD"/>
    <w:rsid w:val="00EB7D1B"/>
    <w:rsid w:val="00EC08CC"/>
    <w:rsid w:val="00EC4FFA"/>
    <w:rsid w:val="00EC5CD3"/>
    <w:rsid w:val="00EC6FA6"/>
    <w:rsid w:val="00F072DA"/>
    <w:rsid w:val="00F1048C"/>
    <w:rsid w:val="00F10C03"/>
    <w:rsid w:val="00F1368B"/>
    <w:rsid w:val="00F17C91"/>
    <w:rsid w:val="00F2606E"/>
    <w:rsid w:val="00F3039D"/>
    <w:rsid w:val="00F453FB"/>
    <w:rsid w:val="00F45F40"/>
    <w:rsid w:val="00F63FEF"/>
    <w:rsid w:val="00F73AA7"/>
    <w:rsid w:val="00F758C9"/>
    <w:rsid w:val="00F86227"/>
    <w:rsid w:val="00FB19E7"/>
    <w:rsid w:val="00FC06A5"/>
    <w:rsid w:val="00FD40DC"/>
    <w:rsid w:val="00FE7E78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3691-37AE-42B3-8627-520875B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36"/>
    <w:rPr>
      <w:rFonts w:eastAsia="SimSun"/>
    </w:rPr>
  </w:style>
  <w:style w:type="paragraph" w:styleId="1">
    <w:name w:val="heading 1"/>
    <w:basedOn w:val="a"/>
    <w:link w:val="10"/>
    <w:uiPriority w:val="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F15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F1505"/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834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B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34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4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4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4B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834B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834B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834B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3834B5"/>
  </w:style>
  <w:style w:type="character" w:styleId="a5">
    <w:name w:val="annotation reference"/>
    <w:basedOn w:val="a0"/>
    <w:uiPriority w:val="99"/>
    <w:semiHidden/>
    <w:unhideWhenUsed/>
    <w:rsid w:val="003834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4B5"/>
    <w:pPr>
      <w:spacing w:after="16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4B5"/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4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4B5"/>
    <w:rPr>
      <w:rFonts w:eastAsia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4B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B5"/>
    <w:rPr>
      <w:rFonts w:ascii="Segoe UI" w:eastAsia="Calibr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rsid w:val="003834B5"/>
    <w:rPr>
      <w:color w:val="0563C1"/>
      <w:u w:val="single"/>
    </w:rPr>
  </w:style>
  <w:style w:type="table" w:styleId="ac">
    <w:name w:val="Table Grid"/>
    <w:basedOn w:val="a1"/>
    <w:uiPriority w:val="39"/>
    <w:rsid w:val="0038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34B5"/>
  </w:style>
  <w:style w:type="paragraph" w:customStyle="1" w:styleId="c0">
    <w:name w:val="c0"/>
    <w:basedOn w:val="a"/>
    <w:rsid w:val="003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"/>
    <w:rsid w:val="003834B5"/>
    <w:rPr>
      <w:rFonts w:ascii="Arial" w:eastAsia="Arial" w:hAnsi="Arial" w:cs="Arial"/>
      <w:sz w:val="40"/>
      <w:szCs w:val="40"/>
    </w:rPr>
  </w:style>
  <w:style w:type="paragraph" w:styleId="ad">
    <w:name w:val="No Spacing"/>
    <w:link w:val="ae"/>
    <w:uiPriority w:val="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3834B5"/>
    <w:rPr>
      <w:rFonts w:ascii="Calibri" w:eastAsia="Calibri" w:hAnsi="Calibri" w:cs="Calibri"/>
    </w:rPr>
  </w:style>
  <w:style w:type="paragraph" w:styleId="af">
    <w:name w:val="Title"/>
    <w:basedOn w:val="a"/>
    <w:next w:val="a"/>
    <w:link w:val="af0"/>
    <w:uiPriority w:val="10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3834B5"/>
    <w:rPr>
      <w:rFonts w:ascii="Calibri" w:eastAsia="Calibri" w:hAnsi="Calibri" w:cs="Calibri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834B5"/>
    <w:rPr>
      <w:rFonts w:ascii="Calibri" w:eastAsia="Calibri" w:hAnsi="Calibri"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22">
    <w:name w:val="Цитата 2 Знак"/>
    <w:basedOn w:val="a0"/>
    <w:link w:val="21"/>
    <w:uiPriority w:val="29"/>
    <w:rsid w:val="003834B5"/>
    <w:rPr>
      <w:rFonts w:ascii="Calibri" w:eastAsia="Calibri" w:hAnsi="Calibri" w:cs="Calibri"/>
      <w:i/>
    </w:rPr>
  </w:style>
  <w:style w:type="paragraph" w:styleId="af3">
    <w:name w:val="Intense Quote"/>
    <w:basedOn w:val="a"/>
    <w:next w:val="a"/>
    <w:link w:val="af4"/>
    <w:uiPriority w:val="30"/>
    <w:qFormat/>
    <w:rsid w:val="00383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3834B5"/>
    <w:rPr>
      <w:rFonts w:ascii="Calibri" w:eastAsia="Calibri" w:hAnsi="Calibri" w:cs="Calibri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3834B5"/>
  </w:style>
  <w:style w:type="character" w:customStyle="1" w:styleId="FooterChar">
    <w:name w:val="Footer Char"/>
    <w:basedOn w:val="a0"/>
    <w:uiPriority w:val="99"/>
    <w:rsid w:val="003834B5"/>
  </w:style>
  <w:style w:type="table" w:customStyle="1" w:styleId="Lined">
    <w:name w:val="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3834B5"/>
    <w:rPr>
      <w:rFonts w:ascii="Calibri" w:eastAsia="Calibri" w:hAnsi="Calibri" w:cs="Calibri"/>
      <w:sz w:val="18"/>
    </w:rPr>
  </w:style>
  <w:style w:type="character" w:styleId="af7">
    <w:name w:val="footnote reference"/>
    <w:basedOn w:val="a0"/>
    <w:uiPriority w:val="99"/>
    <w:unhideWhenUsed/>
    <w:rsid w:val="003834B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eastAsia="Calibri" w:hAnsi="Calibri" w:cs="Calibri"/>
    </w:rPr>
  </w:style>
  <w:style w:type="paragraph" w:styleId="23">
    <w:name w:val="toc 2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eastAsia="Calibri" w:hAnsi="Calibri" w:cs="Calibri"/>
    </w:rPr>
  </w:style>
  <w:style w:type="paragraph" w:styleId="31">
    <w:name w:val="toc 3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eastAsia="Calibri" w:hAnsi="Calibri" w:cs="Calibri"/>
    </w:rPr>
  </w:style>
  <w:style w:type="paragraph" w:styleId="41">
    <w:name w:val="toc 4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eastAsia="Calibri" w:hAnsi="Calibri" w:cs="Calibri"/>
    </w:rPr>
  </w:style>
  <w:style w:type="paragraph" w:styleId="51">
    <w:name w:val="toc 5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eastAsia="Calibri" w:hAnsi="Calibri" w:cs="Calibri"/>
    </w:rPr>
  </w:style>
  <w:style w:type="paragraph" w:styleId="af8">
    <w:name w:val="TOC Heading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af9">
    <w:name w:val="header"/>
    <w:basedOn w:val="a"/>
    <w:link w:val="afa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a">
    <w:name w:val="Верхний колонтитул Знак"/>
    <w:basedOn w:val="a0"/>
    <w:link w:val="af9"/>
    <w:uiPriority w:val="99"/>
    <w:rsid w:val="003834B5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Нижний колонтитул Знак"/>
    <w:basedOn w:val="a0"/>
    <w:link w:val="afb"/>
    <w:uiPriority w:val="99"/>
    <w:rsid w:val="003834B5"/>
    <w:rPr>
      <w:rFonts w:ascii="Calibri" w:eastAsia="Calibri" w:hAnsi="Calibri" w:cs="Calibri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834B5"/>
    <w:rPr>
      <w:color w:val="954F72"/>
      <w:u w:val="single"/>
    </w:rPr>
  </w:style>
  <w:style w:type="character" w:styleId="afd">
    <w:name w:val="Hyperlink"/>
    <w:basedOn w:val="a0"/>
    <w:uiPriority w:val="99"/>
    <w:unhideWhenUsed/>
    <w:rsid w:val="003834B5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383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9;&#1090;&#1099;.&#1093;&#1086;&#1095;&#1091;&#1084;&#1086;&#1075;&#1091;&#1079;&#1085;&#1072;&#1102;.&#1088;&#1092;/" TargetMode="External"/><Relationship Id="rId13" Type="http://schemas.openxmlformats.org/officeDocument/2006/relationships/hyperlink" Target="https://fmc.hs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cult.info" TargetMode="External"/><Relationship Id="rId12" Type="http://schemas.openxmlformats.org/officeDocument/2006/relationships/hyperlink" Target="https://fincult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inancialfootba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gram.oc3.ru" TargetMode="External"/><Relationship Id="rId14" Type="http://schemas.openxmlformats.org/officeDocument/2006/relationships/hyperlink" Target="http://edu.pa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Учетная запись Майкрософт</cp:lastModifiedBy>
  <cp:revision>2</cp:revision>
  <cp:lastPrinted>2020-09-24T10:25:00Z</cp:lastPrinted>
  <dcterms:created xsi:type="dcterms:W3CDTF">2022-02-10T17:34:00Z</dcterms:created>
  <dcterms:modified xsi:type="dcterms:W3CDTF">2022-02-10T17:34:00Z</dcterms:modified>
</cp:coreProperties>
</file>